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1.tiff" ContentType="image/tiff"/>
  <Override PartName="/word/media/rId65.png" ContentType="image/png"/>
  <Override PartName="/word/media/rId73.pdf" ContentType="application/pdf"/>
  <Override PartName="/word/media/rId48.pdf" ContentType="application/pdf"/>
  <Override PartName="/word/media/rId6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t xml:space="preserve">,</w:t>
      </w:r>
      <w:r>
        <w:t xml:space="preserve"> </w:t>
      </w:r>
      <w:r>
        <w:rPr>
          <w:bCs/>
          <w:b/>
        </w:rPr>
        <w:t xml:space="preserve">Yasuhiro Sato</w:t>
      </w:r>
      <w:r>
        <w:rPr>
          <w:vertAlign w:val="superscript"/>
        </w:rPr>
        <w:t xml:space="preserve">1,2†*</w:t>
      </w:r>
      <w:r>
        <w:t xml:space="preserve">,</w:t>
      </w:r>
      <w:r>
        <w:t xml:space="preserve"> </w:t>
      </w:r>
      <w:r>
        <w:rPr>
          <w:bCs/>
          <w:b/>
        </w:rPr>
        <w:t xml:space="preserve">Misako Yamazaki</w:t>
      </w:r>
      <w:r>
        <w:rPr>
          <w:vertAlign w:val="superscript"/>
        </w:rPr>
        <w:t xml:space="preserve">1</w:t>
      </w:r>
      <w:r>
        <w:t xml:space="preserve">,</w:t>
      </w:r>
      <w:r>
        <w:t xml:space="preserve"> </w:t>
      </w:r>
      <w:r>
        <w:rPr>
          <w:bCs/>
          <w:b/>
        </w:rPr>
        <w:t xml:space="preserve">Marcel Brasser</w:t>
      </w:r>
      <w:r>
        <w:rPr>
          <w:vertAlign w:val="superscript"/>
        </w:rPr>
        <w:t xml:space="preserve">1</w:t>
      </w:r>
      <w:r>
        <w:t xml:space="preserve">,</w:t>
      </w:r>
      <w:r>
        <w:t xml:space="preserve"> </w:t>
      </w:r>
      <w:r>
        <w:rPr>
          <w:bCs/>
          <w:b/>
        </w:rPr>
        <w:t xml:space="preserve">Matthew A. Barbour</w:t>
      </w:r>
      <w:r>
        <w:rPr>
          <w:vertAlign w:val="superscript"/>
        </w:rPr>
        <w:t xml:space="preserve">1,3</w:t>
      </w:r>
      <w:r>
        <w:t xml:space="preserve">,</w:t>
      </w:r>
      <w:r>
        <w:t xml:space="preserve"> </w:t>
      </w:r>
      <w:r>
        <w:rPr>
          <w:bCs/>
          <w:b/>
        </w:rPr>
        <w:t xml:space="preserve">Jordi Bascompte</w:t>
      </w:r>
      <w:r>
        <w:rPr>
          <w:vertAlign w:val="superscript"/>
        </w:rPr>
        <w:t xml:space="preserve">1</w:t>
      </w:r>
      <w:r>
        <w:t xml:space="preserve">,</w:t>
      </w:r>
      <w:r>
        <w:t xml:space="preserve"> </w:t>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Départemente de Biologie, Université de Sherbrooke, 2500 boulevard de l’Université, Sherbrooke, QC, J1K 2R1,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often explain substantial variation in herbivory.</w:t>
      </w:r>
      <w:r>
        <w:t xml:space="preserve"> </w:t>
      </w:r>
      <w:r>
        <w:t xml:space="preserve">Although plant genes involved in physical and chemical defense are well studied, less is known about the genetic basis underlying effects of plant growth traits on herbivory.</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this significant genomic region, a mutant of a ribosomal gene (AT3G13882) exhibited slower growth and later flowering than a wild type under laboratory conditions.</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 These findings suggest the potential role of growth-related genes in altering herbivore abundance.</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resistance</w:t>
      </w:r>
      <w:r>
        <w:t xml:space="preserve"> </w:t>
      </w:r>
      <w:r>
        <w:t xml:space="preserve">[1–4]</w:t>
      </w:r>
      <w:r>
        <w:t xml:space="preserve">, plant life-history traits also account for herbivory variation in field environments</w:t>
      </w:r>
      <w:r>
        <w:t xml:space="preserve"> </w:t>
      </w:r>
      <w:r>
        <w:t xml:space="preserve">[3,5,6]</w:t>
      </w:r>
      <w:r>
        <w:t xml:space="preserve">.</w:t>
      </w:r>
      <w:r>
        <w:t xml:space="preserve"> </w:t>
      </w:r>
      <w:r>
        <w:t xml:space="preserve">For example, phenological changes (e.g., early flowering) can allow plants to escape from seasonal herbivory</w:t>
      </w:r>
      <w:r>
        <w:t xml:space="preserve"> </w:t>
      </w:r>
      <w:r>
        <w:t xml:space="preserve">[7,8]</w:t>
      </w:r>
      <w:r>
        <w:t xml:space="preserve">.</w:t>
      </w:r>
      <w:r>
        <w:t xml:space="preserve"> </w:t>
      </w:r>
      <w:r>
        <w:t xml:space="preserve">The visibility of plants for herbivores, namely plant apparency</w:t>
      </w:r>
      <w:r>
        <w:t xml:space="preserve"> </w:t>
      </w:r>
      <w:r>
        <w:t xml:space="preserve">[9]</w:t>
      </w:r>
      <w:r>
        <w:t xml:space="preserve">, also changes across plant ontogeny (e.g., from vegetative to reproductive phase), which alters the risk of herbivore attacks</w:t>
      </w:r>
      <w:r>
        <w:t xml:space="preserve"> </w:t>
      </w:r>
      <w:r>
        <w:t xml:space="preserve">[6,10]</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[4,11,12]</w:t>
      </w:r>
      <w:r>
        <w:t xml:space="preserve">.</w:t>
      </w:r>
      <w:r>
        <w:t xml:space="preserve"> </w:t>
      </w:r>
      <w:r>
        <w:t xml:space="preserve">Yet, less is known about the underlying genetic basis of the plant life-history traits on herbivory.</w:t>
      </w:r>
    </w:p>
    <w:p>
      <w:pPr>
        <w:pStyle w:val="BodyText"/>
      </w:pPr>
      <w:r>
        <w:t xml:space="preserve">Genome-wide association study (GWAS) is an effective way to dissect the genetic architecture of ecologically important traits</w:t>
      </w:r>
      <w:r>
        <w:t xml:space="preserve"> </w:t>
      </w:r>
      <w:r>
        <w:t xml:space="preserve">[13,14]</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[15,16]</w:t>
      </w:r>
      <w:r>
        <w:t xml:space="preserve">.</w:t>
      </w:r>
      <w:r>
        <w:t xml:space="preserve"> </w:t>
      </w:r>
      <w:r>
        <w:t xml:space="preserve">Recent studies showed that controlled laboratory conditions are unlikely to reflect outdoor environments where interspecific interactions typically occur</w:t>
      </w:r>
      <w:r>
        <w:t xml:space="preserve"> </w:t>
      </w:r>
      <w:r>
        <w:t xml:space="preserve">[17,18]</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[19–23]</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[23–25]</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[4,26]</w:t>
      </w:r>
      <w:r>
        <w:t xml:space="preserve">.</w:t>
      </w:r>
      <w:r>
        <w:t xml:space="preserve"> </w:t>
      </w:r>
      <w:r>
        <w:t xml:space="preserve">Of the diverse insect herbivores, aphids are known to be major herbivores occurring across the natural distribution range of</w:t>
      </w:r>
      <w:r>
        <w:t xml:space="preserve"> </w:t>
      </w:r>
      <w:r>
        <w:rPr>
          <w:iCs/>
          <w:i/>
        </w:rPr>
        <w:t xml:space="preserve">A. thaliana</w:t>
      </w:r>
      <w:r>
        <w:t xml:space="preserve"> </w:t>
      </w:r>
      <w:r>
        <w:t xml:space="preserve">[27]</w:t>
      </w:r>
      <w:r>
        <w:t xml:space="preserve">.</w:t>
      </w:r>
      <w:r>
        <w:t xml:space="preserve"> </w:t>
      </w:r>
      <w:r>
        <w:t xml:space="preserve">Because aphids often suck phloem sap from leaf veins and flowering stems, we hypothesized that plant life-history traits may play a key role in mediating aphid herbivory under field conditions.</w:t>
      </w:r>
    </w:p>
    <w:p>
      <w:pPr>
        <w:pStyle w:val="BodyText"/>
      </w:pPr>
      <w:r>
        <w:t xml:space="preserve">To reveal the genetic architecture of aphid herbivory,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accessions</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[28]</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[29]</w:t>
      </w:r>
      <w:r>
        <w:t xml:space="preserve"> </w:t>
      </w:r>
      <w:r>
        <w:t xml:space="preserve">and 1001 Genomes</w:t>
      </w:r>
      <w:r>
        <w:t xml:space="preserve"> </w:t>
      </w:r>
      <w:r>
        <w:t xml:space="preserve">[30]</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[31]</w:t>
      </w:r>
      <w:r>
        <w:t xml:space="preserve">.</w:t>
      </w:r>
      <w:r>
        <w:t xml:space="preserve"> </w:t>
      </w:r>
      <w:r>
        <w:t xml:space="preserve">The target phenotype was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The imputed full-sequence dataset</w:t>
      </w:r>
      <w:r>
        <w:t xml:space="preserve"> </w:t>
      </w:r>
      <w:r>
        <w:t xml:space="preserve">[31]</w:t>
      </w:r>
      <w:r>
        <w:t xml:space="preserve"> </w:t>
      </w:r>
      <w:r>
        <w:t xml:space="preserve">was used as SNP data for the 196 accessions.</w:t>
      </w:r>
      <w:r>
        <w:t xml:space="preserve"> </w:t>
      </w:r>
      <w:r>
        <w:t xml:space="preserve">Pseudo-heritability</w:t>
      </w:r>
      <w:r>
        <w:t xml:space="preserve"> </w:t>
      </w:r>
      <m:oMath>
        <m:sSup>
          <m:e>
            <m:r>
              <m:t>h</m:t>
            </m:r>
          </m:e>
          <m:sup>
            <m:r>
              <m:t>2</m:t>
            </m:r>
          </m:sup>
        </m:sSup>
      </m:oMath>
      <w:r>
        <w:t xml:space="preserve"> </w:t>
      </w:r>
      <w:r>
        <w:t xml:space="preserve">[31]</w:t>
      </w:r>
      <w:r>
        <w:t xml:space="preserve"> </w:t>
      </w:r>
      <w:r>
        <w:t xml:space="preserve">was calculated for the target phenotype before association mapping.</w:t>
      </w:r>
      <w:r>
        <w:t xml:space="preserve"> </w:t>
      </w:r>
      <w:r>
        <w:t xml:space="preserve">Accelerated mixed models</w:t>
      </w:r>
      <w:r>
        <w:t xml:space="preserve"> </w:t>
      </w:r>
      <w:r>
        <w:t xml:space="preserve">[31]</w:t>
      </w:r>
      <w:r>
        <w:t xml:space="preserve"> </w:t>
      </w:r>
      <w:r>
        <w:t xml:space="preserve">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[32]</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p>
    <w:p>
      <w:pPr>
        <w:pStyle w:val="BodyText"/>
      </w:pPr>
      <w:r>
        <w:t xml:space="preserve">Following the instruction</w:t>
      </w:r>
      <w:r>
        <w:t xml:space="preserve"> </w:t>
      </w:r>
      <w:r>
        <w:t xml:space="preserve">[33]</w:t>
      </w:r>
      <w:r>
        <w:t xml:space="preserve">, we examined the insertion site by polymerase chain reaction (PCR) amplification and Sanger sequencing; and gene expression levels by Semi-quantitative reverse transcription and PCR (sqRT-PCR).</w:t>
      </w:r>
      <w:r>
        <w:t xml:space="preserve"> </w:t>
      </w:r>
      <w:r>
        <w:t xml:space="preserve">To confirm the T-DNA insertion site of SALK_039481, we extracted DNA from leaves using the CTAB method.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 The PCR product was finally sequenced by Sanger sequencing to confirm the insertion site.</w:t>
      </w:r>
    </w:p>
    <w:p>
      <w:pPr>
        <w:pStyle w:val="BodyText"/>
      </w:pPr>
      <w:r>
        <w:t xml:space="preserve">To perform sqRT-PCR, we extracted the RNA from leaves using RNeasy kit (Qiagen: Catalogue Number: 74181) and purified the RNA with DNA-free kit (Ambion: Cat. No. AM1906).</w:t>
      </w:r>
      <w:r>
        <w:t xml:space="preserve"> </w:t>
      </w:r>
      <w:r>
        <w:t xml:space="preserve">RNA concentration was measured by Qubit spectrophotometer (Invitrogen: Cat. No. Q10211).</w:t>
      </w:r>
      <w:r>
        <w:t xml:space="preserve"> </w:t>
      </w:r>
      <w:r>
        <w:t xml:space="preserve">Then we obtained the cDNA using High-Capacity RNA-to-cDNA kit (Applied Biosystems: Cat. No. 4387406) from 500 ng of the total RNA.</w:t>
      </w:r>
      <w:r>
        <w:t xml:space="preserve"> </w:t>
      </w:r>
      <w:r>
        <w:t xml:space="preserve">The cDNA was amplified by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w:t>
      </w:r>
      <w:r>
        <w:t xml:space="preserve"> </w:t>
      </w:r>
      <w:r>
        <w:t xml:space="preserve">A gel electrophoresis was performed using a 1% agarose with 120 V for 60 min. The PCR products were finally visualized an UV trans-illuminator system.</w:t>
      </w:r>
    </w:p>
    <w:p>
      <w:pPr>
        <w:pStyle w:val="BodyText"/>
      </w:pP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In the other three lines, the insertion was not found or low germination rate prevented further experiments.</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[34]</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3"/>
    <w:bookmarkStart w:id="34"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 analysis of deviance with a</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All statistical analyses were performed using R version 4.0.3</w:t>
      </w:r>
      <w:r>
        <w:t xml:space="preserve"> </w:t>
      </w:r>
      <w:r>
        <w:t xml:space="preserve">[35]</w:t>
      </w:r>
      <w:r>
        <w:t xml:space="preserve">.</w:t>
      </w:r>
      <w:r>
        <w:t xml:space="preserve"> </w:t>
      </w:r>
      <w:r>
        <w:t xml:space="preserve">For LMM and GLMM, we used the lmer and glmer function implemented in the lme4 package</w:t>
      </w:r>
      <w:r>
        <w:t xml:space="preserve"> </w:t>
      </w:r>
      <w:r>
        <w:t xml:space="preserve">[36]</w:t>
      </w:r>
      <w:r>
        <w:t xml:space="preserve">.</w:t>
      </w:r>
    </w:p>
    <w:bookmarkEnd w:id="34"/>
    <w:bookmarkEnd w:id="35"/>
    <w:bookmarkEnd w:id="36"/>
    <w:bookmarkStart w:id="39" w:name="results-and-discussion"/>
    <w:p>
      <w:pPr>
        <w:pStyle w:val="Heading1"/>
      </w:pPr>
      <w:r>
        <w:t xml:space="preserve">Results and Discussion</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 in Zurich within a native distribution range of</w:t>
      </w:r>
      <w:r>
        <w:t xml:space="preserve"> </w:t>
      </w:r>
      <w:r>
        <w:rPr>
          <w:iCs/>
          <w:i/>
        </w:rPr>
        <w:t xml:space="preserve">A. thaliana</w:t>
      </w:r>
      <w:r>
        <w:t xml:space="preserve">.</w:t>
      </w:r>
      <w:r>
        <w:t xml:space="preserve"> </w:t>
      </w:r>
      <w:r>
        <w:t xml:space="preserve">At the transplantation, all plants were at the rosette stage, i.e., no bolting occurred.</w:t>
      </w:r>
      <w:r>
        <w:t xml:space="preserve"> </w:t>
      </w:r>
      <w:r>
        <w:t xml:space="preserve">After two weeks, 38% of individual plants initiated bolting, i.e., a stem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stem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 see also Fig.</w:t>
      </w:r>
      <w:r>
        <w:t xml:space="preserve"> </w:t>
      </w:r>
      <w:hyperlink w:anchor="fig:qqplot">
        <w:r>
          <w:rPr>
            <w:rStyle w:val="Hyperlink"/>
          </w:rPr>
          <w:t xml:space="preserve">S4</w:t>
        </w:r>
      </w:hyperlink>
      <w:r>
        <w:t xml:space="preserve"> </w:t>
      </w:r>
      <w:r>
        <w:t xml:space="preserve">for quantile-quantile plots).</w:t>
      </w:r>
      <w:r>
        <w:t xml:space="preserve"> </w:t>
      </w:r>
      <w:r>
        <w:t xml:space="preserve">Nearby this significant SNP (chr3-4579292), we found three candidate genes: such as a putative ribosomal gene (AT3G13882) that is homologous to a ribosome protein L34 gene (RPL34)</w:t>
      </w:r>
      <w:r>
        <w:t xml:space="preserve"> </w:t>
      </w:r>
      <w:r>
        <w:t xml:space="preserve">[37]</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[32]</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[32]</w:t>
      </w:r>
      <w:r>
        <w:t xml:space="preserve">.</w:t>
      </w:r>
      <w:r>
        <w:t xml:space="preserve"> </w:t>
      </w:r>
      <w:r>
        <w:t xml:space="preserve">Because aphids were unlikely to suck saps from anthers and pistils, we focused on the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a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S5</w:t>
        </w:r>
      </w:hyperlink>
      <w:r>
        <w:t xml:space="preserve"> </w:t>
      </w:r>
      <w:r>
        <w:t xml:space="preserve">for results at 10 and 14 days), suggesting that the delayed growth of the host negatively affected aphid colony establishment.</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[38]</w:t>
      </w:r>
      <w:r>
        <w:t xml:space="preserve">, reduced root length</w:t>
      </w:r>
      <w:r>
        <w:t xml:space="preserve"> </w:t>
      </w:r>
      <w:r>
        <w:t xml:space="preserve">[39]</w:t>
      </w:r>
      <w:r>
        <w:t xml:space="preserve">, and the reduction of pollen number</w:t>
      </w:r>
      <w:r>
        <w:t xml:space="preserve"> </w:t>
      </w:r>
      <w:r>
        <w:t xml:space="preserve">[16,40]</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We should note that further study on natural variants responsible for the delayed growth and reduced aphid abundance would be necessary to support its significance in the field.</w:t>
      </w:r>
      <w:r>
        <w:t xml:space="preserve"> </w:t>
      </w:r>
      <w:r>
        <w:t xml:space="preserve">Multiple alleles on the AT3G13882 gene are also needed to provide strong evidence of those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[16,40]</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[16]</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further experimental tests, such as quantitative complementation</w:t>
      </w:r>
      <w:r>
        <w:t xml:space="preserve"> </w:t>
      </w:r>
      <w:r>
        <w:t xml:space="preserve">[16,40]</w:t>
      </w:r>
      <w:r>
        <w:t xml:space="preserve">, will be needed to identify natural causal variants that alter aphid abundance through delayed growth.</w:t>
      </w:r>
    </w:p>
    <w:bookmarkEnd w:id="38"/>
    <w:bookmarkEnd w:id="39"/>
    <w:bookmarkStart w:id="40" w:name="conclusion"/>
    <w:p>
      <w:pPr>
        <w:pStyle w:val="Heading1"/>
      </w:pPr>
      <w:r>
        <w:t xml:space="preserve">Conclusion</w:t>
      </w:r>
    </w:p>
    <w:p>
      <w:pPr>
        <w:pStyle w:val="FirstParagraph"/>
      </w:pPr>
      <w:r>
        <w:t xml:space="preserve">Overall, our study suggests the importance of plant life-history traits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[14]</w:t>
      </w:r>
      <w:r>
        <w:t xml:space="preserve">.</w:t>
      </w:r>
      <w:r>
        <w:t xml:space="preserve"> </w:t>
      </w:r>
      <w:r>
        <w:t xml:space="preserve">These lines of studies suggest that plant genetic variation governs herbivore abundance and communities</w:t>
      </w:r>
      <w:r>
        <w:t xml:space="preserve"> </w:t>
      </w:r>
      <w:r>
        <w:t xml:space="preserve">[4,11,12,14]</w:t>
      </w:r>
      <w:r>
        <w:t xml:space="preserve">, but a keystone gene shaping the ecological communities was not identified until recently</w:t>
      </w:r>
      <w:r>
        <w:t xml:space="preserve"> </w:t>
      </w:r>
      <w:r>
        <w:t xml:space="preserve">[34]</w:t>
      </w:r>
      <w:r>
        <w:t xml:space="preserve">.</w:t>
      </w:r>
      <w:r>
        <w:t xml:space="preserve"> </w:t>
      </w:r>
      <w:r>
        <w:t xml:space="preserve">Barbour et al.</w:t>
      </w:r>
      <w:r>
        <w:t xml:space="preserve"> </w:t>
      </w:r>
      <w:r>
        <w:t xml:space="preserve">[34]</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[41,42]</w:t>
      </w:r>
      <w:r>
        <w:t xml:space="preserve">, future studies may reveal cascading effects of delayed plant growth on food webs.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 and its published version is deposited on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review and editing; Y.S.: conceptualization, funding acquisition, project administration, supervision, field investigation, data curation, formal analysis, draft writing, review and editing; M.Y.: laboratory investigation, methodology (molecular), project administration, review and editing; M.B.: laboratory investigation, methodology (molecular); M.A.B: resources (insects), review and editing; J.B.: conceptualization, funding acquisition, supervision,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R. Hostettler for assistance with the molecular experiments.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Swiss National Science Foundation grant (31003A_182318 to K.K.S.); Japan Science and Technology Agency (Grant numbers JPMJCR16O3 to K.K.S. and JPMJPR17Q4 to Y.S.); and Japan Society for the Promotion of Science, Grant-in-Aid for Transformative Research Areas (22H05179 to K.K.S.).</w:t>
      </w:r>
    </w:p>
    <w:bookmarkEnd w:id="47"/>
    <w:bookmarkStart w:id="56" w:name="figures"/>
    <w:p>
      <w:pPr>
        <w:pStyle w:val="Heading1"/>
      </w:pPr>
      <w:r>
        <w:t xml:space="preserve">Figures</w:t>
      </w:r>
    </w:p>
    <w:p>
      <w:pPr>
        <w:pStyle w:val="CaptionedFigure"/>
      </w:pPr>
      <w:bookmarkStart w:id="51" w:name="fig:ManPlot"/>
      <w:r>
        <w:drawing>
          <wp:inline>
            <wp:extent cx="5334000" cy="4320988"/>
            <wp:effectExtent b="0" l="0" r="0" t="0"/>
            <wp:docPr descr="Figure 1. Genome-wide association study of aphid abundance on 196 Arabidopsis thaliana accessions grown in the field. (A) A genomic region within ca. 5 kbp from the top-scoring SNP at Chr3-4579292 displays the position of candidate genes. Only the longest splice variant (black horizontal arrow) is shown for each gene.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df" id="50" name="Picture"/>
                    <pic:cNvPicPr>
                      <a:picLocks noChangeArrowheads="1" noChangeAspect="1"/>
                    </pic:cNvPicPr>
                  </pic:nvPicPr>
                  <pic:blipFill>
                    <a:blip r:embed="rId48"/>
                    <a:stretch>
                      <a:fillRect/>
                    </a:stretch>
                  </pic:blipFill>
                  <pic:spPr bwMode="auto">
                    <a:xfrm>
                      <a:off x="0" y="0"/>
                      <a:ext cx="5334000" cy="4320988"/>
                    </a:xfrm>
                    <a:prstGeom prst="rect">
                      <a:avLst/>
                    </a:prstGeom>
                    <a:noFill/>
                    <a:ln w="9525">
                      <a:noFill/>
                      <a:headEnd/>
                      <a:tailEnd/>
                    </a:ln>
                  </pic:spPr>
                </pic:pic>
              </a:graphicData>
            </a:graphic>
          </wp:inline>
        </w:drawing>
      </w:r>
      <w:bookmarkEnd w:id="51"/>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within ca. 5 kbp from the top-scoring SNP at Chr3-4579292 displays the position of candidate genes. Only the longest splice variant (black horizontal arrow) is shown for each gene.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7" w:name="supplementary-materials"/>
    <w:p>
      <w:pPr>
        <w:pStyle w:val="Heading1"/>
      </w:pPr>
      <w:r>
        <w:t xml:space="preserve">Supplementary Materials</w:t>
      </w:r>
    </w:p>
    <w:p>
      <w:pPr>
        <w:pStyle w:val="CaptionedFigure"/>
      </w:pPr>
      <w:bookmarkStart w:id="60"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980623"/>
                    </a:xfrm>
                    <a:prstGeom prst="rect">
                      <a:avLst/>
                    </a:prstGeom>
                    <a:noFill/>
                    <a:ln w="9525">
                      <a:noFill/>
                      <a:headEnd/>
                      <a:tailEnd/>
                    </a:ln>
                  </pic:spPr>
                </pic:pic>
              </a:graphicData>
            </a:graphic>
          </wp:inline>
        </w:drawing>
      </w:r>
      <w:bookmarkEnd w:id="60"/>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w:t>
      </w:r>
    </w:p>
    <w:p>
      <w:pPr>
        <w:pStyle w:val="CaptionedFigure"/>
      </w:pPr>
      <w:bookmarkStart w:id="64" w:name="fig:sqRT_PCR"/>
      <w:r>
        <w:drawing>
          <wp:inline>
            <wp:extent cx="3810000" cy="2540000"/>
            <wp:effectExtent b="0" l="0" r="0" t="0"/>
            <wp:docPr descr="Figure S2. Semi-quantitative reverse transcription and polymerase chain reaction (sqRT-PCR) of the ribosomal gene mutant mutant AT3G13882 (SALK_039481). Two primer sets A-D were used for AT3G13882; and E for an internal control gene ETL1 (see Table S4 for the primer information). This figure shows that the gene expression of AT3G13882 is suppressed in the mutant line SALK_039481." title="" id="62" name="Picture"/>
            <a:graphic>
              <a:graphicData uri="http://schemas.openxmlformats.org/drawingml/2006/picture">
                <pic:pic>
                  <pic:nvPicPr>
                    <pic:cNvPr descr="../figures/FigS_gel_annotation.tif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ribosomal gene mutant mutant AT3G13882 (SALK_039481).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68"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6" name="Picture"/>
            <a:graphic>
              <a:graphicData uri="http://schemas.openxmlformats.org/drawingml/2006/picture">
                <pic:pic>
                  <pic:nvPicPr>
                    <pic:cNvPr descr="../figures/aphid_No_per_day.png" id="67" name="Picture"/>
                    <pic:cNvPicPr>
                      <a:picLocks noChangeArrowheads="1" noChangeAspect="1"/>
                    </pic:cNvPicPr>
                  </pic:nvPicPr>
                  <pic:blipFill>
                    <a:blip r:embed="rId65"/>
                    <a:stretch>
                      <a:fillRect/>
                    </a:stretch>
                  </pic:blipFill>
                  <pic:spPr bwMode="auto">
                    <a:xfrm>
                      <a:off x="0" y="0"/>
                      <a:ext cx="5334000" cy="3619149"/>
                    </a:xfrm>
                    <a:prstGeom prst="rect">
                      <a:avLst/>
                    </a:prstGeom>
                    <a:noFill/>
                    <a:ln w="9525">
                      <a:noFill/>
                      <a:headEnd/>
                      <a:tailEnd/>
                    </a:ln>
                  </pic:spPr>
                </pic:pic>
              </a:graphicData>
            </a:graphic>
          </wp:inline>
        </w:drawing>
      </w:r>
      <w:bookmarkEnd w:id="68"/>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2" w:name="fig:qqplot"/>
      <w:r>
        <w:drawing>
          <wp:inline>
            <wp:extent cx="5334000" cy="5334000"/>
            <wp:effectExtent b="0" l="0" r="0" t="0"/>
            <wp:docPr descr="Figure S4. A quantile-quantile (QQ) plot showing relationships between the observed and expected association score of -log10(p). A red solid line indicates randomly expected association scores abd the shaded area corresponds to its 95% confidence intervals. This figure shows that the top-scoring SNP at Chr3-4579292 is larger than the upper 95% confidence interval." title="" id="70" name="Picture"/>
            <a:graphic>
              <a:graphicData uri="http://schemas.openxmlformats.org/drawingml/2006/picture">
                <pic:pic>
                  <pic:nvPicPr>
                    <pic:cNvPr descr="../figures/log_BbLe_max_QQ.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bookmarkEnd w:id="72"/>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A red solid line indicates randomly expected association scores abd the shaded area corresponds to its 95% confidence intervals. This figure shows that the top-scoring SNP at Chr3-4579292 is larger than the upper 95% confidence interval.</w:t>
      </w:r>
    </w:p>
    <w:p>
      <w:pPr>
        <w:pStyle w:val="CaptionedFigure"/>
      </w:pPr>
      <w:bookmarkStart w:id="76" w:name="fig:aphid_last"/>
      <w:r>
        <w:drawing>
          <wp:inline>
            <wp:extent cx="5334000" cy="2667000"/>
            <wp:effectExtent b="0" l="0" r="0" t="0"/>
            <wp:docPr descr="Figure S5.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title="" id="74" name="Picture"/>
            <a:graphic>
              <a:graphicData uri="http://schemas.openxmlformats.org/drawingml/2006/picture">
                <pic:pic>
                  <pic:nvPicPr>
                    <pic:cNvPr descr="../figures/aphid_last.pdf"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pStyle w:val="ImageCaption"/>
      </w:pPr>
      <w:r>
        <w:t xml:space="preserve">Figure S5.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bookmarkEnd w:id="77"/>
    <w:bookmarkStart w:id="125" w:name="references"/>
    <w:p>
      <w:pPr>
        <w:pStyle w:val="Heading1"/>
      </w:pPr>
      <w:r>
        <w:t xml:space="preserve">References</w:t>
      </w:r>
    </w:p>
    <w:bookmarkStart w:id="124" w:name="refs"/>
    <w:bookmarkStart w:id="78"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78"/>
    <w:bookmarkStart w:id="79"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79"/>
    <w:bookmarkStart w:id="80"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80"/>
    <w:bookmarkStart w:id="81"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1"/>
    <w:bookmarkStart w:id="82"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2"/>
    <w:bookmarkStart w:id="83"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3"/>
    <w:bookmarkStart w:id="84" w:name="ref-kawagoe2010escape"/>
    <w:p>
      <w:pPr>
        <w:pStyle w:val="Bibliography"/>
      </w:pPr>
      <w:r>
        <w:t xml:space="preserve">7.</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4"/>
    <w:bookmarkStart w:id="85" w:name="ref-marquis2021escape"/>
    <w:p>
      <w:pPr>
        <w:pStyle w:val="Bibliography"/>
      </w:pPr>
      <w:r>
        <w:t xml:space="preserve">8.</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5"/>
    <w:bookmarkStart w:id="87"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6">
        <w:r>
          <w:rPr>
            <w:rStyle w:val="Hyperlink"/>
          </w:rPr>
          <w:t xml:space="preserve">10.1007/978-1-4684-2646-5_1</w:t>
        </w:r>
      </w:hyperlink>
      <w:r>
        <w:t xml:space="preserve">)</w:t>
      </w:r>
    </w:p>
    <w:bookmarkEnd w:id="87"/>
    <w:bookmarkStart w:id="88" w:name="ref-zverev2017ontogenetic"/>
    <w:p>
      <w:pPr>
        <w:pStyle w:val="Bibliography"/>
      </w:pPr>
      <w:r>
        <w:t xml:space="preserve">10.</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8"/>
    <w:bookmarkStart w:id="89" w:name="ref-johnson2009heritability"/>
    <w:p>
      <w:pPr>
        <w:pStyle w:val="Bibliography"/>
      </w:pPr>
      <w:r>
        <w:t xml:space="preserve">11.</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9"/>
    <w:bookmarkStart w:id="90" w:name="ref-barbour2015multiple"/>
    <w:p>
      <w:pPr>
        <w:pStyle w:val="Bibliography"/>
      </w:pPr>
      <w:r>
        <w:t xml:space="preserve">12.</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0"/>
    <w:bookmarkStart w:id="91" w:name="ref-santure2018wild"/>
    <w:p>
      <w:pPr>
        <w:pStyle w:val="Bibliography"/>
      </w:pPr>
      <w:r>
        <w:t xml:space="preserve">13.</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1"/>
    <w:bookmarkStart w:id="92" w:name="ref-barker2019linking"/>
    <w:p>
      <w:pPr>
        <w:pStyle w:val="Bibliography"/>
      </w:pPr>
      <w:r>
        <w:t xml:space="preserve">14.</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92"/>
    <w:bookmarkStart w:id="93" w:name="ref-fujii2019stigmatic"/>
    <w:p>
      <w:pPr>
        <w:pStyle w:val="Bibliography"/>
      </w:pPr>
      <w:r>
        <w:t xml:space="preserve">15.</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3"/>
    <w:bookmarkStart w:id="94" w:name="ref-tsuchimatsu2020adaptive"/>
    <w:p>
      <w:pPr>
        <w:pStyle w:val="Bibliography"/>
      </w:pPr>
      <w:r>
        <w:t xml:space="preserve">16.</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4"/>
    <w:bookmarkStart w:id="95" w:name="ref-honjo2020seasonality"/>
    <w:p>
      <w:pPr>
        <w:pStyle w:val="Bibliography"/>
      </w:pPr>
      <w:r>
        <w:t xml:space="preserve">17.</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5"/>
    <w:bookmarkStart w:id="96" w:name="ref-sato2019transcriptional"/>
    <w:p>
      <w:pPr>
        <w:pStyle w:val="Bibliography"/>
      </w:pPr>
      <w:r>
        <w:t xml:space="preserve">18.</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6"/>
    <w:bookmarkStart w:id="97" w:name="ref-shimizu2011plant"/>
    <w:p>
      <w:pPr>
        <w:pStyle w:val="Bibliography"/>
      </w:pPr>
      <w:r>
        <w:t xml:space="preserve">19.</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7"/>
    <w:bookmarkStart w:id="98" w:name="ref-kudoh2016molecular"/>
    <w:p>
      <w:pPr>
        <w:pStyle w:val="Bibliography"/>
      </w:pPr>
      <w:r>
        <w:t xml:space="preserve">20.</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8"/>
    <w:bookmarkStart w:id="99" w:name="ref-yamasaki2017genomics"/>
    <w:p>
      <w:pPr>
        <w:pStyle w:val="Bibliography"/>
      </w:pPr>
      <w:r>
        <w:t xml:space="preserve">21.</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9"/>
    <w:bookmarkStart w:id="100" w:name="ref-zaidem2019evolutionary"/>
    <w:p>
      <w:pPr>
        <w:pStyle w:val="Bibliography"/>
      </w:pPr>
      <w:r>
        <w:t xml:space="preserve">22.</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00"/>
    <w:bookmarkStart w:id="102" w:name="ref-stockenhuber2021uv"/>
    <w:p>
      <w:pPr>
        <w:pStyle w:val="Bibliography"/>
      </w:pPr>
      <w:r>
        <w:t xml:space="preserve">23.</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01">
        <w:r>
          <w:rPr>
            <w:rStyle w:val="Hyperlink"/>
          </w:rPr>
          <w:t xml:space="preserve">10.1101/2021.12.08.471623</w:t>
        </w:r>
      </w:hyperlink>
      <w:r>
        <w:t xml:space="preserve">)</w:t>
      </w:r>
    </w:p>
    <w:bookmarkEnd w:id="102"/>
    <w:bookmarkStart w:id="103" w:name="ref-thompson1994spatiotemporal"/>
    <w:p>
      <w:pPr>
        <w:pStyle w:val="Bibliography"/>
      </w:pPr>
      <w:r>
        <w:t xml:space="preserve">24.</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3"/>
    <w:bookmarkStart w:id="104" w:name="ref-taylor2017interacting"/>
    <w:p>
      <w:pPr>
        <w:pStyle w:val="Bibliography"/>
      </w:pPr>
      <w:r>
        <w:t xml:space="preserve">25.</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4"/>
    <w:bookmarkStart w:id="105" w:name="ref-mosleh2009herbivory"/>
    <w:p>
      <w:pPr>
        <w:pStyle w:val="Bibliography"/>
      </w:pPr>
      <w:r>
        <w:t xml:space="preserve">26.</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5"/>
    <w:bookmarkStart w:id="106" w:name="ref-zust2012natural"/>
    <w:p>
      <w:pPr>
        <w:pStyle w:val="Bibliography"/>
      </w:pPr>
      <w:r>
        <w:t xml:space="preserve">27.</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6"/>
    <w:bookmarkStart w:id="107" w:name="ref-sato2021neighbor"/>
    <w:p>
      <w:pPr>
        <w:pStyle w:val="Bibliography"/>
      </w:pPr>
      <w:r>
        <w:t xml:space="preserve">28.</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7"/>
    <w:bookmarkStart w:id="108" w:name="ref-horton2012genome"/>
    <w:p>
      <w:pPr>
        <w:pStyle w:val="Bibliography"/>
      </w:pPr>
      <w:r>
        <w:t xml:space="preserve">29.</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8"/>
    <w:bookmarkStart w:id="109" w:name="ref-alonso20161"/>
    <w:p>
      <w:pPr>
        <w:pStyle w:val="Bibliography"/>
      </w:pPr>
      <w:r>
        <w:t xml:space="preserve">30.</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9"/>
    <w:bookmarkStart w:id="110" w:name="ref-seren2018gwa"/>
    <w:p>
      <w:pPr>
        <w:pStyle w:val="Bibliography"/>
      </w:pPr>
      <w:r>
        <w:t xml:space="preserve">31.</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10"/>
    <w:bookmarkStart w:id="111" w:name="ref-klepikova2016high"/>
    <w:p>
      <w:pPr>
        <w:pStyle w:val="Bibliography"/>
      </w:pPr>
      <w:r>
        <w:t xml:space="preserve">32.</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11"/>
    <w:bookmarkStart w:id="112" w:name="ref-o2015user"/>
    <w:p>
      <w:pPr>
        <w:pStyle w:val="Bibliography"/>
      </w:pPr>
      <w:r>
        <w:t xml:space="preserve">33.</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12"/>
    <w:bookmarkStart w:id="113" w:name="ref-barbour2022keystone"/>
    <w:p>
      <w:pPr>
        <w:pStyle w:val="Bibliography"/>
      </w:pPr>
      <w:r>
        <w:t xml:space="preserve">34.</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3"/>
    <w:bookmarkStart w:id="115" w:name="ref-Rcite"/>
    <w:p>
      <w:pPr>
        <w:pStyle w:val="Bibliography"/>
      </w:pPr>
      <w:r>
        <w:t xml:space="preserve">35.</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4">
        <w:r>
          <w:rPr>
            <w:rStyle w:val="Hyperlink"/>
          </w:rPr>
          <w:t xml:space="preserve">https://www.R-project.org/</w:t>
        </w:r>
      </w:hyperlink>
      <w:r>
        <w:t xml:space="preserve">.</w:t>
      </w:r>
    </w:p>
    <w:bookmarkEnd w:id="115"/>
    <w:bookmarkStart w:id="117" w:name="ref-lme4"/>
    <w:p>
      <w:pPr>
        <w:pStyle w:val="Bibliography"/>
      </w:pPr>
      <w:r>
        <w:t xml:space="preserve">36.</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16">
        <w:r>
          <w:rPr>
            <w:rStyle w:val="Hyperlink"/>
          </w:rPr>
          <w:t xml:space="preserve">10.18637/jss.v067.i01</w:t>
        </w:r>
      </w:hyperlink>
      <w:r>
        <w:t xml:space="preserve">)</w:t>
      </w:r>
    </w:p>
    <w:bookmarkEnd w:id="117"/>
    <w:bookmarkStart w:id="118" w:name="ref-cheng2017araport11"/>
    <w:p>
      <w:pPr>
        <w:pStyle w:val="Bibliography"/>
      </w:pPr>
      <w:r>
        <w:t xml:space="preserve">37.</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18"/>
    <w:bookmarkStart w:id="119" w:name="ref-fujikura2009coordination"/>
    <w:p>
      <w:pPr>
        <w:pStyle w:val="Bibliography"/>
      </w:pPr>
      <w:r>
        <w:t xml:space="preserve">38.</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9"/>
    <w:bookmarkStart w:id="120" w:name="ref-creff2010two"/>
    <w:p>
      <w:pPr>
        <w:pStyle w:val="Bibliography"/>
      </w:pPr>
      <w:r>
        <w:t xml:space="preserve">39.</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20"/>
    <w:bookmarkStart w:id="121" w:name="ref-kakui2022pollen"/>
    <w:p>
      <w:pPr>
        <w:pStyle w:val="Bibliography"/>
      </w:pPr>
      <w:r>
        <w:t xml:space="preserve">40.</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21"/>
    <w:bookmarkStart w:id="122" w:name="ref-dixon1977aphid"/>
    <w:p>
      <w:pPr>
        <w:pStyle w:val="Bibliography"/>
      </w:pPr>
      <w:r>
        <w:t xml:space="preserve">41.</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22"/>
    <w:bookmarkStart w:id="123" w:name="ref-snyder2003interactions"/>
    <w:p>
      <w:pPr>
        <w:pStyle w:val="Bibliography"/>
      </w:pPr>
      <w:r>
        <w:t xml:space="preserve">42.</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23"/>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1" Target="media/rId61.tiff" /><Relationship Type="http://schemas.openxmlformats.org/officeDocument/2006/relationships/image" Id="rId65" Target="media/rId65.png" /><Relationship Type="http://schemas.openxmlformats.org/officeDocument/2006/relationships/image" Id="rId73" Target="media/rId73.pdf" /><Relationship Type="http://schemas.openxmlformats.org/officeDocument/2006/relationships/image" Id="rId48" Target="media/rId48.pdf"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1" Target="https://doi.org/10.1101/2021.12.08.471623" TargetMode="External" /><Relationship Type="http://schemas.openxmlformats.org/officeDocument/2006/relationships/hyperlink" Id="rId116"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4"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6" Target="https://doi.org/10.1007/978-1-4684-2646-5_1" TargetMode="External" /><Relationship Type="http://schemas.openxmlformats.org/officeDocument/2006/relationships/hyperlink" Id="rId101" Target="https://doi.org/10.1101/2021.12.08.471623" TargetMode="External" /><Relationship Type="http://schemas.openxmlformats.org/officeDocument/2006/relationships/hyperlink" Id="rId116" Target="https://doi.org/10.18637/jss.v067.i01"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4"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2022-11-29T13:48:52Z</dcterms:created>
  <dcterms:modified xsi:type="dcterms:W3CDTF">2022-11-29T13:48:52Z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